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57D7636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1F55D4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F43ACD">
        <w:rPr>
          <w:rFonts w:cs="Arial"/>
          <w:color w:val="000000"/>
          <w:sz w:val="24"/>
          <w:szCs w:val="24"/>
        </w:rPr>
        <w:t>0</w:t>
      </w:r>
      <w:r w:rsidR="0024281F">
        <w:rPr>
          <w:rFonts w:cs="Arial"/>
          <w:color w:val="000000"/>
          <w:sz w:val="24"/>
          <w:szCs w:val="24"/>
        </w:rPr>
        <w:t>6855</w:t>
      </w:r>
    </w:p>
    <w:p w14:paraId="2700B07E" w14:textId="1BC01071" w:rsidR="003175E3" w:rsidRPr="008C4D7E" w:rsidRDefault="001F55D4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Busan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South Korea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21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– 25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May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0A1228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2617F">
        <w:rPr>
          <w:rFonts w:ascii="Arial" w:hAnsi="Arial"/>
          <w:sz w:val="24"/>
          <w:lang w:val="en-US"/>
        </w:rPr>
        <w:t>6.19.4.6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9E997DE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727B4">
        <w:rPr>
          <w:rFonts w:ascii="Arial" w:hAnsi="Arial"/>
          <w:sz w:val="24"/>
          <w:lang w:val="en-US"/>
        </w:rPr>
        <w:t xml:space="preserve">On </w:t>
      </w:r>
      <w:r w:rsidR="008A7BB6">
        <w:rPr>
          <w:rFonts w:ascii="Arial" w:hAnsi="Arial"/>
          <w:sz w:val="24"/>
          <w:lang w:val="en-US"/>
        </w:rPr>
        <w:t xml:space="preserve">PHR </w:t>
      </w:r>
      <w:r w:rsidR="001C2425">
        <w:rPr>
          <w:rFonts w:ascii="Arial" w:hAnsi="Arial"/>
          <w:sz w:val="24"/>
          <w:lang w:val="en-US"/>
        </w:rPr>
        <w:t>reporting in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0903307" w14:textId="5891B062" w:rsidR="001F55D4" w:rsidRDefault="008A7BB6" w:rsidP="00884374">
      <w:pPr>
        <w:spacing w:after="0"/>
        <w:rPr>
          <w:lang w:val="en-US"/>
        </w:rPr>
      </w:pPr>
      <w:r>
        <w:rPr>
          <w:lang w:val="en-US"/>
        </w:rPr>
        <w:t xml:space="preserve">RAN2 informed RAN4 that 4 bits in the DPR MAC CE can be used to introduce power headroom levels with increased range and granularity </w:t>
      </w:r>
      <w:r w:rsidR="00DB6EB7">
        <w:rPr>
          <w:lang w:val="en-US"/>
        </w:rPr>
        <w:t>in the enhanced</w:t>
      </w:r>
      <w:r>
        <w:rPr>
          <w:lang w:val="en-US"/>
        </w:rPr>
        <w:t xml:space="preserve"> PHR reporting [1]. </w:t>
      </w:r>
    </w:p>
    <w:p w14:paraId="3E3DAF00" w14:textId="77777777" w:rsidR="008A7BB6" w:rsidRDefault="008A7BB6" w:rsidP="00884374">
      <w:pPr>
        <w:spacing w:after="0"/>
        <w:rPr>
          <w:lang w:val="en-US"/>
        </w:rPr>
      </w:pPr>
    </w:p>
    <w:p w14:paraId="3F98E0DB" w14:textId="616DA0CD" w:rsidR="0092330C" w:rsidRDefault="0092330C" w:rsidP="00884374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8A7BB6">
        <w:rPr>
          <w:lang w:val="en-US"/>
        </w:rPr>
        <w:t>discuss the</w:t>
      </w:r>
      <w:r w:rsidR="00815E39">
        <w:rPr>
          <w:lang w:val="en-US"/>
        </w:rPr>
        <w:t xml:space="preserve"> necessary modification of the</w:t>
      </w:r>
      <w:r w:rsidR="008A7BB6">
        <w:rPr>
          <w:lang w:val="en-US"/>
        </w:rPr>
        <w:t xml:space="preserve"> PHR </w:t>
      </w:r>
      <w:r w:rsidR="006E4D27">
        <w:rPr>
          <w:lang w:val="en-US"/>
        </w:rPr>
        <w:t xml:space="preserve">report </w:t>
      </w:r>
      <w:r w:rsidR="008A7BB6">
        <w:rPr>
          <w:lang w:val="en-US"/>
        </w:rPr>
        <w:t xml:space="preserve">mapping </w:t>
      </w:r>
      <w:r w:rsidR="00815E39">
        <w:rPr>
          <w:lang w:val="en-US"/>
        </w:rPr>
        <w:t>in</w:t>
      </w:r>
      <w:r w:rsidR="008A7BB6">
        <w:rPr>
          <w:lang w:val="en-US"/>
        </w:rPr>
        <w:t xml:space="preserve"> NB-IoT </w:t>
      </w:r>
      <w:r w:rsidR="00815E39">
        <w:rPr>
          <w:lang w:val="en-US"/>
        </w:rPr>
        <w:t xml:space="preserve">for </w:t>
      </w:r>
      <w:r w:rsidR="00DB6EB7">
        <w:rPr>
          <w:lang w:val="en-US"/>
        </w:rPr>
        <w:t>the enhanced PHR reporting.</w:t>
      </w:r>
    </w:p>
    <w:p w14:paraId="2B5DFDAE" w14:textId="06319B1B" w:rsidR="007C61D6" w:rsidRDefault="004405E1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818096A" w14:textId="22090C07" w:rsidR="00690DA5" w:rsidRDefault="001D23D9" w:rsidP="007C1008">
      <w:pPr>
        <w:rPr>
          <w:lang w:val="en-US"/>
        </w:rPr>
      </w:pPr>
      <w:r>
        <w:rPr>
          <w:lang w:val="en-US"/>
        </w:rPr>
        <w:t xml:space="preserve">In the existing RAN4 requirement, </w:t>
      </w:r>
      <w:r w:rsidR="00DB6EB7">
        <w:rPr>
          <w:lang w:val="en-US"/>
        </w:rPr>
        <w:t>PHR</w:t>
      </w:r>
      <w:r w:rsidR="00F252B6">
        <w:rPr>
          <w:lang w:val="en-US"/>
        </w:rPr>
        <w:t xml:space="preserve"> </w:t>
      </w:r>
      <w:r w:rsidR="006E4D27">
        <w:rPr>
          <w:lang w:val="en-US"/>
        </w:rPr>
        <w:t xml:space="preserve">report </w:t>
      </w:r>
      <w:r>
        <w:rPr>
          <w:lang w:val="en-US"/>
        </w:rPr>
        <w:t xml:space="preserve">mapping is defined separately for different coverage levels and for different power class </w:t>
      </w:r>
      <w:r w:rsidR="00E06B49">
        <w:rPr>
          <w:lang w:val="en-US"/>
        </w:rPr>
        <w:t xml:space="preserve">to </w:t>
      </w:r>
      <w:r>
        <w:rPr>
          <w:lang w:val="en-US"/>
        </w:rPr>
        <w:t xml:space="preserve">make the </w:t>
      </w:r>
      <w:r w:rsidR="00C27B21">
        <w:rPr>
          <w:lang w:val="en-US"/>
        </w:rPr>
        <w:t>best use</w:t>
      </w:r>
      <w:r>
        <w:rPr>
          <w:lang w:val="en-US"/>
        </w:rPr>
        <w:t xml:space="preserve"> of the limited </w:t>
      </w:r>
      <w:r w:rsidR="00E06B49">
        <w:rPr>
          <w:lang w:val="en-US"/>
        </w:rPr>
        <w:t>number of bits</w:t>
      </w:r>
      <w:r w:rsidR="00594B98">
        <w:rPr>
          <w:lang w:val="en-US"/>
        </w:rPr>
        <w:t xml:space="preserve"> </w:t>
      </w:r>
      <w:r w:rsidR="00E06B49">
        <w:rPr>
          <w:lang w:val="en-US"/>
        </w:rPr>
        <w:t>available for</w:t>
      </w:r>
      <w:r>
        <w:rPr>
          <w:lang w:val="en-US"/>
        </w:rPr>
        <w:t xml:space="preserve"> </w:t>
      </w:r>
      <w:r w:rsidR="00DB6EB7">
        <w:rPr>
          <w:lang w:val="en-US"/>
        </w:rPr>
        <w:t xml:space="preserve">PHR </w:t>
      </w:r>
      <w:r>
        <w:rPr>
          <w:lang w:val="en-US"/>
        </w:rPr>
        <w:t>reporting.</w:t>
      </w:r>
      <w:r w:rsidR="006E4D27">
        <w:rPr>
          <w:lang w:val="en-US"/>
        </w:rPr>
        <w:t xml:space="preserve"> O</w:t>
      </w:r>
      <w:r w:rsidR="00537ED9">
        <w:rPr>
          <w:lang w:val="en-US"/>
        </w:rPr>
        <w:t xml:space="preserve">ne limitation of the coverage dependent </w:t>
      </w:r>
      <w:r w:rsidR="00DB6EB7">
        <w:rPr>
          <w:lang w:val="en-US"/>
        </w:rPr>
        <w:t xml:space="preserve">PHR </w:t>
      </w:r>
      <w:r w:rsidR="00F252B6">
        <w:rPr>
          <w:lang w:val="en-US"/>
        </w:rPr>
        <w:t xml:space="preserve">report mapping </w:t>
      </w:r>
      <w:r w:rsidR="00537ED9">
        <w:rPr>
          <w:lang w:val="en-US"/>
        </w:rPr>
        <w:t xml:space="preserve">table is that </w:t>
      </w:r>
      <w:r w:rsidR="00E06B49">
        <w:rPr>
          <w:lang w:val="en-US"/>
        </w:rPr>
        <w:t>t</w:t>
      </w:r>
      <w:r w:rsidR="00537ED9">
        <w:rPr>
          <w:lang w:val="en-US"/>
        </w:rPr>
        <w:t>he incorrect coverage decision</w:t>
      </w:r>
      <w:r w:rsidR="00594B98">
        <w:rPr>
          <w:lang w:val="en-US"/>
        </w:rPr>
        <w:t xml:space="preserve"> of the NB-IoT</w:t>
      </w:r>
      <w:r w:rsidR="00E06B49">
        <w:rPr>
          <w:lang w:val="en-US"/>
        </w:rPr>
        <w:t>, due to noisy NRSRP measurement,</w:t>
      </w:r>
      <w:r w:rsidR="00537ED9">
        <w:rPr>
          <w:lang w:val="en-US"/>
        </w:rPr>
        <w:t xml:space="preserve"> may result in the suboptimal use of the </w:t>
      </w:r>
      <w:r w:rsidR="00DB6EB7">
        <w:rPr>
          <w:lang w:val="en-US"/>
        </w:rPr>
        <w:t xml:space="preserve">PHR </w:t>
      </w:r>
      <w:r w:rsidR="00537ED9">
        <w:rPr>
          <w:lang w:val="en-US"/>
        </w:rPr>
        <w:t>reporting</w:t>
      </w:r>
      <w:r w:rsidR="006E4D27">
        <w:rPr>
          <w:lang w:val="en-US"/>
        </w:rPr>
        <w:t xml:space="preserve"> as well</w:t>
      </w:r>
      <w:r w:rsidR="00537ED9">
        <w:rPr>
          <w:lang w:val="en-US"/>
        </w:rPr>
        <w:t>.</w:t>
      </w:r>
    </w:p>
    <w:p w14:paraId="7899D39C" w14:textId="179AF0EA" w:rsidR="00016705" w:rsidRPr="00016705" w:rsidRDefault="00016705" w:rsidP="007C1008">
      <w:pPr>
        <w:rPr>
          <w:b/>
          <w:lang w:val="en-US"/>
        </w:rPr>
      </w:pPr>
      <w:r w:rsidRPr="00016705">
        <w:rPr>
          <w:b/>
          <w:lang w:val="en-US"/>
        </w:rPr>
        <w:t xml:space="preserve">Observation 1. </w:t>
      </w:r>
      <w:r w:rsidR="00594B98">
        <w:rPr>
          <w:b/>
          <w:lang w:val="en-US"/>
        </w:rPr>
        <w:t>I</w:t>
      </w:r>
      <w:r>
        <w:rPr>
          <w:b/>
          <w:lang w:val="en-US"/>
        </w:rPr>
        <w:t xml:space="preserve">ncorrect coverage decision due to noisy NRSRP measurement may lead to the suboptimal </w:t>
      </w:r>
      <w:r w:rsidR="008707DD">
        <w:rPr>
          <w:b/>
          <w:lang w:val="en-US"/>
        </w:rPr>
        <w:t xml:space="preserve">use of </w:t>
      </w:r>
      <w:r w:rsidR="00284A9A">
        <w:rPr>
          <w:b/>
          <w:lang w:val="en-US"/>
        </w:rPr>
        <w:t>PHR</w:t>
      </w:r>
      <w:bookmarkStart w:id="0" w:name="_GoBack"/>
      <w:bookmarkEnd w:id="0"/>
      <w:r>
        <w:rPr>
          <w:b/>
          <w:lang w:val="en-US"/>
        </w:rPr>
        <w:t xml:space="preserve"> reporting</w:t>
      </w:r>
      <w:r w:rsidR="00594B98">
        <w:rPr>
          <w:b/>
          <w:lang w:val="en-US"/>
        </w:rPr>
        <w:t xml:space="preserve"> in the </w:t>
      </w:r>
      <w:r w:rsidR="00594B98" w:rsidRPr="00DB6EB7">
        <w:rPr>
          <w:b/>
          <w:lang w:val="en-US"/>
        </w:rPr>
        <w:t>l</w:t>
      </w:r>
      <w:r w:rsidR="00594B98" w:rsidRPr="00DB6EB7">
        <w:rPr>
          <w:b/>
          <w:lang w:val="en-US"/>
        </w:rPr>
        <w:t xml:space="preserve">egacy </w:t>
      </w:r>
      <w:r w:rsidR="00DB6EB7" w:rsidRPr="00DB6EB7">
        <w:rPr>
          <w:b/>
          <w:lang w:val="en-US"/>
        </w:rPr>
        <w:t xml:space="preserve">PHR </w:t>
      </w:r>
      <w:r w:rsidR="00594B98" w:rsidRPr="00DB6EB7">
        <w:rPr>
          <w:b/>
          <w:lang w:val="en-US"/>
        </w:rPr>
        <w:t>report</w:t>
      </w:r>
      <w:r w:rsidR="00594B98">
        <w:rPr>
          <w:b/>
          <w:lang w:val="en-US"/>
        </w:rPr>
        <w:t xml:space="preserve"> mapping</w:t>
      </w:r>
      <w:r w:rsidR="00594B98">
        <w:rPr>
          <w:b/>
          <w:lang w:val="en-US"/>
        </w:rPr>
        <w:t>.</w:t>
      </w:r>
    </w:p>
    <w:p w14:paraId="3E377213" w14:textId="51FF47B2" w:rsidR="00452BFF" w:rsidRDefault="00537ED9" w:rsidP="007C1008">
      <w:pPr>
        <w:rPr>
          <w:lang w:val="en-US"/>
        </w:rPr>
      </w:pPr>
      <w:r>
        <w:rPr>
          <w:lang w:val="en-US"/>
        </w:rPr>
        <w:t xml:space="preserve">Given that </w:t>
      </w:r>
      <w:r w:rsidR="00F31C19">
        <w:rPr>
          <w:lang w:val="en-US"/>
        </w:rPr>
        <w:t xml:space="preserve">NB IoT </w:t>
      </w:r>
      <w:r>
        <w:rPr>
          <w:lang w:val="en-US"/>
        </w:rPr>
        <w:t xml:space="preserve">UE </w:t>
      </w:r>
      <w:r w:rsidR="00F31C19">
        <w:rPr>
          <w:lang w:val="en-US"/>
        </w:rPr>
        <w:t>is now allowed to</w:t>
      </w:r>
      <w:r>
        <w:rPr>
          <w:lang w:val="en-US"/>
        </w:rPr>
        <w:t xml:space="preserve"> report up to 16 different </w:t>
      </w:r>
      <w:r w:rsidR="00DB6EB7">
        <w:rPr>
          <w:lang w:val="en-US"/>
        </w:rPr>
        <w:t>PHR</w:t>
      </w:r>
      <w:r w:rsidR="00F31C19">
        <w:rPr>
          <w:lang w:val="en-US"/>
        </w:rPr>
        <w:t xml:space="preserve"> level</w:t>
      </w:r>
      <w:r>
        <w:rPr>
          <w:lang w:val="en-US"/>
        </w:rPr>
        <w:t xml:space="preserve">s, </w:t>
      </w:r>
      <w:r w:rsidR="00F31C19">
        <w:rPr>
          <w:lang w:val="en-US"/>
        </w:rPr>
        <w:t>it</w:t>
      </w:r>
      <w:r>
        <w:rPr>
          <w:lang w:val="en-US"/>
        </w:rPr>
        <w:t xml:space="preserve"> is better to have a one consolidated </w:t>
      </w:r>
      <w:r w:rsidR="00DB6EB7">
        <w:rPr>
          <w:lang w:val="en-US"/>
        </w:rPr>
        <w:t>PHR report</w:t>
      </w:r>
      <w:r>
        <w:rPr>
          <w:lang w:val="en-US"/>
        </w:rPr>
        <w:t xml:space="preserve"> mapping table across </w:t>
      </w:r>
      <w:r w:rsidR="00F31C19">
        <w:rPr>
          <w:lang w:val="en-US"/>
        </w:rPr>
        <w:t xml:space="preserve">the </w:t>
      </w:r>
      <w:r>
        <w:rPr>
          <w:lang w:val="en-US"/>
        </w:rPr>
        <w:t xml:space="preserve">different UE’s coverage level to </w:t>
      </w:r>
      <w:r w:rsidR="00016705">
        <w:rPr>
          <w:lang w:val="en-US"/>
        </w:rPr>
        <w:t xml:space="preserve">eliminate the </w:t>
      </w:r>
      <w:proofErr w:type="gramStart"/>
      <w:r w:rsidR="00016705">
        <w:rPr>
          <w:lang w:val="en-US"/>
        </w:rPr>
        <w:t>aforementioned vulnerability</w:t>
      </w:r>
      <w:proofErr w:type="gramEnd"/>
      <w:r w:rsidR="00016705">
        <w:rPr>
          <w:lang w:val="en-US"/>
        </w:rPr>
        <w:t xml:space="preserve"> </w:t>
      </w:r>
      <w:r w:rsidR="00F85EBB">
        <w:rPr>
          <w:lang w:val="en-US"/>
        </w:rPr>
        <w:t>to</w:t>
      </w:r>
      <w:r w:rsidR="00016705">
        <w:rPr>
          <w:lang w:val="en-US"/>
        </w:rPr>
        <w:t xml:space="preserve"> the incorrect coverage decision.</w:t>
      </w:r>
      <w:r w:rsidR="00703FE9">
        <w:rPr>
          <w:lang w:val="en-US"/>
        </w:rPr>
        <w:t xml:space="preserve"> </w:t>
      </w:r>
      <w:r w:rsidR="00F31C19">
        <w:rPr>
          <w:lang w:val="en-US"/>
        </w:rPr>
        <w:t>Similarly</w:t>
      </w:r>
      <w:r w:rsidR="00703FE9">
        <w:rPr>
          <w:lang w:val="en-US"/>
        </w:rPr>
        <w:t xml:space="preserve">, </w:t>
      </w:r>
      <w:r w:rsidR="00F31C19">
        <w:rPr>
          <w:lang w:val="en-US"/>
        </w:rPr>
        <w:t xml:space="preserve">a single </w:t>
      </w:r>
      <w:r w:rsidR="00DB6EB7">
        <w:rPr>
          <w:lang w:val="en-US"/>
        </w:rPr>
        <w:t>PHR</w:t>
      </w:r>
      <w:r w:rsidR="004D7CF4">
        <w:rPr>
          <w:lang w:val="en-US"/>
        </w:rPr>
        <w:t xml:space="preserve"> report mapping</w:t>
      </w:r>
      <w:r w:rsidR="00386DF6">
        <w:rPr>
          <w:lang w:val="en-US"/>
        </w:rPr>
        <w:t xml:space="preserve"> </w:t>
      </w:r>
      <w:r w:rsidR="00F31C19">
        <w:rPr>
          <w:lang w:val="en-US"/>
        </w:rPr>
        <w:t>can</w:t>
      </w:r>
      <w:r w:rsidR="00386DF6">
        <w:rPr>
          <w:lang w:val="en-US"/>
        </w:rPr>
        <w:t xml:space="preserve"> </w:t>
      </w:r>
      <w:r w:rsidR="00452BFF">
        <w:rPr>
          <w:lang w:val="en-US"/>
        </w:rPr>
        <w:t xml:space="preserve">be </w:t>
      </w:r>
      <w:r w:rsidR="004D7CF4">
        <w:rPr>
          <w:lang w:val="en-US"/>
        </w:rPr>
        <w:t xml:space="preserve">used to serve the NB-IoT UEs with </w:t>
      </w:r>
      <w:r w:rsidR="00F31C19">
        <w:rPr>
          <w:lang w:val="en-US"/>
        </w:rPr>
        <w:t xml:space="preserve">the </w:t>
      </w:r>
      <w:r w:rsidR="00452BFF">
        <w:rPr>
          <w:lang w:val="en-US"/>
        </w:rPr>
        <w:t>different power classes.</w:t>
      </w:r>
    </w:p>
    <w:p w14:paraId="03452E5D" w14:textId="55784129" w:rsidR="008259DE" w:rsidRDefault="008259DE" w:rsidP="008259DE">
      <w:pPr>
        <w:rPr>
          <w:b/>
          <w:lang w:val="en-US"/>
        </w:rPr>
      </w:pPr>
      <w:r w:rsidRPr="00016705">
        <w:rPr>
          <w:b/>
          <w:lang w:val="en-US"/>
        </w:rPr>
        <w:t xml:space="preserve">Proposal 1. </w:t>
      </w:r>
      <w:r w:rsidR="004D7CF4">
        <w:rPr>
          <w:b/>
          <w:lang w:val="en-US"/>
        </w:rPr>
        <w:t>In the enhanced PHR reporting, define only one</w:t>
      </w:r>
      <w:r w:rsidRPr="00016705">
        <w:rPr>
          <w:b/>
          <w:lang w:val="en-US"/>
        </w:rPr>
        <w:t xml:space="preserve"> </w:t>
      </w:r>
      <w:r w:rsidR="004D7CF4">
        <w:rPr>
          <w:b/>
          <w:lang w:val="en-US"/>
        </w:rPr>
        <w:t>PHR report</w:t>
      </w:r>
      <w:r w:rsidRPr="00016705">
        <w:rPr>
          <w:b/>
          <w:lang w:val="en-US"/>
        </w:rPr>
        <w:t xml:space="preserve"> mapping </w:t>
      </w:r>
      <w:r>
        <w:rPr>
          <w:b/>
          <w:lang w:val="en-US"/>
        </w:rPr>
        <w:t xml:space="preserve">table for NB-IoT </w:t>
      </w:r>
      <w:r w:rsidR="00DB6EB7">
        <w:rPr>
          <w:b/>
          <w:lang w:val="en-US"/>
        </w:rPr>
        <w:t>UEs across different</w:t>
      </w:r>
      <w:r>
        <w:rPr>
          <w:b/>
          <w:lang w:val="en-US"/>
        </w:rPr>
        <w:t xml:space="preserve"> power class</w:t>
      </w:r>
      <w:r w:rsidR="00F3130D">
        <w:rPr>
          <w:b/>
          <w:lang w:val="en-US"/>
        </w:rPr>
        <w:t>es</w:t>
      </w:r>
      <w:r>
        <w:rPr>
          <w:b/>
          <w:lang w:val="en-US"/>
        </w:rPr>
        <w:t xml:space="preserve"> and</w:t>
      </w:r>
      <w:r w:rsidR="00DB6EB7">
        <w:rPr>
          <w:b/>
          <w:lang w:val="en-US"/>
        </w:rPr>
        <w:t>/or</w:t>
      </w:r>
      <w:r>
        <w:rPr>
          <w:b/>
          <w:lang w:val="en-US"/>
        </w:rPr>
        <w:t xml:space="preserve"> coverage level</w:t>
      </w:r>
      <w:r w:rsidR="00F3130D">
        <w:rPr>
          <w:b/>
          <w:lang w:val="en-US"/>
        </w:rPr>
        <w:t>s</w:t>
      </w:r>
      <w:r>
        <w:rPr>
          <w:b/>
          <w:lang w:val="en-US"/>
        </w:rPr>
        <w:t>.</w:t>
      </w:r>
    </w:p>
    <w:p w14:paraId="7957BF98" w14:textId="2725890C" w:rsidR="00537ED9" w:rsidRDefault="00452BFF" w:rsidP="007C1008">
      <w:pPr>
        <w:rPr>
          <w:lang w:val="en-US"/>
        </w:rPr>
      </w:pPr>
      <w:r>
        <w:rPr>
          <w:lang w:val="en-US"/>
        </w:rPr>
        <w:t xml:space="preserve">Following the </w:t>
      </w:r>
      <w:r w:rsidR="00284A9A">
        <w:rPr>
          <w:lang w:val="en-US"/>
        </w:rPr>
        <w:t>earlier</w:t>
      </w:r>
      <w:r>
        <w:rPr>
          <w:lang w:val="en-US"/>
        </w:rPr>
        <w:t xml:space="preserve"> </w:t>
      </w:r>
      <w:r w:rsidR="00284A9A">
        <w:rPr>
          <w:lang w:val="en-US"/>
        </w:rPr>
        <w:t xml:space="preserve">RAN4 </w:t>
      </w:r>
      <w:r>
        <w:rPr>
          <w:lang w:val="en-US"/>
        </w:rPr>
        <w:t xml:space="preserve">discussion </w:t>
      </w:r>
      <w:r w:rsidR="00284A9A">
        <w:rPr>
          <w:lang w:val="en-US"/>
        </w:rPr>
        <w:t>on</w:t>
      </w:r>
      <w:r>
        <w:rPr>
          <w:lang w:val="en-US"/>
        </w:rPr>
        <w:t xml:space="preserve"> the PHR</w:t>
      </w:r>
      <w:r w:rsidR="00284A9A">
        <w:rPr>
          <w:lang w:val="en-US"/>
        </w:rPr>
        <w:t xml:space="preserve"> report</w:t>
      </w:r>
      <w:r>
        <w:rPr>
          <w:lang w:val="en-US"/>
        </w:rPr>
        <w:t xml:space="preserve"> mapping [2], the PHR mapping can be chosen to be able to cover the UL transmission with different number of tones and </w:t>
      </w:r>
      <w:r w:rsidR="004D7CF4">
        <w:rPr>
          <w:lang w:val="en-US"/>
        </w:rPr>
        <w:t xml:space="preserve">the </w:t>
      </w:r>
      <w:r>
        <w:rPr>
          <w:lang w:val="en-US"/>
        </w:rPr>
        <w:t>different repetition levels</w:t>
      </w:r>
      <w:r w:rsidR="00B76B47">
        <w:rPr>
          <w:lang w:val="en-US"/>
        </w:rPr>
        <w:t xml:space="preserve">. </w:t>
      </w:r>
      <w:r w:rsidR="00B76FEE">
        <w:rPr>
          <w:lang w:val="en-US"/>
        </w:rPr>
        <w:t>A</w:t>
      </w:r>
      <w:r w:rsidR="00B76FEE">
        <w:rPr>
          <w:lang w:val="en-US"/>
        </w:rPr>
        <w:t>s discussed in [2]</w:t>
      </w:r>
      <w:r w:rsidR="008259DE">
        <w:rPr>
          <w:lang w:val="en-US"/>
        </w:rPr>
        <w:t>,</w:t>
      </w:r>
      <w:r w:rsidR="00B76B47">
        <w:rPr>
          <w:lang w:val="en-US"/>
        </w:rPr>
        <w:t xml:space="preserve"> </w:t>
      </w:r>
      <w:r w:rsidR="008259DE">
        <w:rPr>
          <w:lang w:val="en-US"/>
        </w:rPr>
        <w:t xml:space="preserve">the </w:t>
      </w:r>
      <w:r w:rsidR="00B76B47">
        <w:rPr>
          <w:lang w:val="en-US"/>
        </w:rPr>
        <w:t>PH</w:t>
      </w:r>
      <w:r w:rsidR="001B5898">
        <w:rPr>
          <w:lang w:val="en-US"/>
        </w:rPr>
        <w:t>R</w:t>
      </w:r>
      <w:r w:rsidR="00B76B47">
        <w:rPr>
          <w:lang w:val="en-US"/>
        </w:rPr>
        <w:t xml:space="preserve"> of 11dB </w:t>
      </w:r>
      <w:r w:rsidR="001B5898">
        <w:rPr>
          <w:lang w:val="en-US"/>
        </w:rPr>
        <w:t>or larger corresponds to</w:t>
      </w:r>
      <w:r w:rsidR="00B76B47">
        <w:rPr>
          <w:lang w:val="en-US"/>
        </w:rPr>
        <w:t xml:space="preserve"> the </w:t>
      </w:r>
      <w:r w:rsidR="001B5898">
        <w:rPr>
          <w:lang w:val="en-US"/>
        </w:rPr>
        <w:t xml:space="preserve">path loss condition where </w:t>
      </w:r>
      <w:r w:rsidR="00B76B47">
        <w:rPr>
          <w:lang w:val="en-US"/>
        </w:rPr>
        <w:t>U</w:t>
      </w:r>
      <w:r w:rsidR="0096587E">
        <w:rPr>
          <w:lang w:val="en-US"/>
        </w:rPr>
        <w:t xml:space="preserve">E can support the UL </w:t>
      </w:r>
      <w:r w:rsidR="00B76B47">
        <w:rPr>
          <w:lang w:val="en-US"/>
        </w:rPr>
        <w:t>transmission with 12 tones without repetition</w:t>
      </w:r>
      <w:r w:rsidR="008259DE">
        <w:rPr>
          <w:lang w:val="en-US"/>
        </w:rPr>
        <w:t xml:space="preserve">. </w:t>
      </w:r>
      <w:r w:rsidR="00B76FEE">
        <w:rPr>
          <w:lang w:val="en-US"/>
        </w:rPr>
        <w:t>F</w:t>
      </w:r>
      <w:r w:rsidR="008259DE">
        <w:rPr>
          <w:lang w:val="en-US"/>
        </w:rPr>
        <w:t>iner mapping</w:t>
      </w:r>
      <w:r w:rsidR="001B5898">
        <w:rPr>
          <w:lang w:val="en-US"/>
        </w:rPr>
        <w:t xml:space="preserve"> beyond 11dB PHR </w:t>
      </w:r>
      <w:r w:rsidR="00B76FEE">
        <w:rPr>
          <w:lang w:val="en-US"/>
        </w:rPr>
        <w:t>may</w:t>
      </w:r>
      <w:r w:rsidR="001B5898">
        <w:rPr>
          <w:lang w:val="en-US"/>
        </w:rPr>
        <w:t xml:space="preserve"> not assist the network decision any further</w:t>
      </w:r>
      <w:r w:rsidR="00C4531C">
        <w:rPr>
          <w:lang w:val="en-US"/>
        </w:rPr>
        <w:t xml:space="preserve"> due to </w:t>
      </w:r>
      <w:r w:rsidR="00B76FEE">
        <w:rPr>
          <w:lang w:val="en-US"/>
        </w:rPr>
        <w:t xml:space="preserve">the </w:t>
      </w:r>
      <w:r w:rsidR="00C4531C">
        <w:rPr>
          <w:lang w:val="en-US"/>
        </w:rPr>
        <w:t>single PRB transmission in NB-IoT</w:t>
      </w:r>
      <w:r w:rsidR="001B5898">
        <w:rPr>
          <w:lang w:val="en-US"/>
        </w:rPr>
        <w:t xml:space="preserve">. On the other extreme, </w:t>
      </w:r>
      <w:r w:rsidR="008259DE">
        <w:rPr>
          <w:lang w:val="en-US"/>
        </w:rPr>
        <w:t xml:space="preserve">the PHR value of </w:t>
      </w:r>
      <w:r w:rsidR="0096587E">
        <w:rPr>
          <w:lang w:val="en-US"/>
        </w:rPr>
        <w:t>-3</w:t>
      </w:r>
      <w:r w:rsidR="00086DEB">
        <w:rPr>
          <w:lang w:val="en-US"/>
        </w:rPr>
        <w:t>4</w:t>
      </w:r>
      <w:r w:rsidR="0096587E">
        <w:rPr>
          <w:lang w:val="en-US"/>
        </w:rPr>
        <w:t xml:space="preserve">dB corresponds to the </w:t>
      </w:r>
      <w:r w:rsidR="00DD5A3D">
        <w:rPr>
          <w:lang w:val="en-US"/>
        </w:rPr>
        <w:t>negative power headroom at the path loss condition where</w:t>
      </w:r>
      <w:r w:rsidR="0096587E">
        <w:rPr>
          <w:lang w:val="en-US"/>
        </w:rPr>
        <w:t xml:space="preserve"> </w:t>
      </w:r>
      <w:r w:rsidR="00DD5A3D">
        <w:rPr>
          <w:lang w:val="en-US"/>
        </w:rPr>
        <w:t xml:space="preserve">a </w:t>
      </w:r>
      <w:r w:rsidR="0096587E">
        <w:rPr>
          <w:lang w:val="en-US"/>
        </w:rPr>
        <w:t xml:space="preserve">UE configured with UL transmission with 12 tones </w:t>
      </w:r>
      <w:r w:rsidR="00DD5A3D">
        <w:rPr>
          <w:lang w:val="en-US"/>
        </w:rPr>
        <w:t>requires the</w:t>
      </w:r>
      <w:r w:rsidR="0096587E">
        <w:rPr>
          <w:lang w:val="en-US"/>
        </w:rPr>
        <w:t xml:space="preserve"> repetition level of 128</w:t>
      </w:r>
      <w:r w:rsidR="00C4531C">
        <w:rPr>
          <w:lang w:val="en-US"/>
        </w:rPr>
        <w:t xml:space="preserve">. The PHR of -34dB </w:t>
      </w:r>
      <w:r w:rsidR="008259DE">
        <w:rPr>
          <w:lang w:val="en-US"/>
        </w:rPr>
        <w:t>is derived from the PHR level of -23dB of single tone transmission with the repetition level of 128</w:t>
      </w:r>
      <w:r w:rsidR="00C4531C">
        <w:rPr>
          <w:lang w:val="en-US"/>
        </w:rPr>
        <w:t xml:space="preserve"> as discussed in [2]</w:t>
      </w:r>
      <w:r w:rsidR="008259DE">
        <w:rPr>
          <w:lang w:val="en-US"/>
        </w:rPr>
        <w:t>, plus additional 10.79dB (=10*log10(12)) shortage when</w:t>
      </w:r>
      <w:r w:rsidR="00B76FEE">
        <w:rPr>
          <w:lang w:val="en-US"/>
        </w:rPr>
        <w:t xml:space="preserve"> the actual UL transmission is configured with </w:t>
      </w:r>
      <w:r w:rsidR="008259DE">
        <w:rPr>
          <w:lang w:val="en-US"/>
        </w:rPr>
        <w:t xml:space="preserve">12 tones. </w:t>
      </w:r>
    </w:p>
    <w:p w14:paraId="682A405C" w14:textId="0A21EDA7" w:rsidR="009E1EC5" w:rsidRPr="00016705" w:rsidRDefault="009E1EC5" w:rsidP="009E1EC5">
      <w:pPr>
        <w:rPr>
          <w:b/>
          <w:lang w:val="en-US"/>
        </w:rPr>
      </w:pPr>
      <w:r w:rsidRPr="00016705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16705">
        <w:rPr>
          <w:b/>
          <w:lang w:val="en-US"/>
        </w:rPr>
        <w:t xml:space="preserve">. </w:t>
      </w:r>
      <w:r>
        <w:rPr>
          <w:b/>
          <w:lang w:val="en-US"/>
        </w:rPr>
        <w:t>Adopt</w:t>
      </w:r>
      <w:r w:rsidR="00720226">
        <w:rPr>
          <w:b/>
          <w:lang w:val="en-US"/>
        </w:rPr>
        <w:t xml:space="preserve"> the Table 1 for </w:t>
      </w:r>
      <w:r w:rsidR="00B76FEE">
        <w:rPr>
          <w:b/>
          <w:lang w:val="en-US"/>
        </w:rPr>
        <w:t>the enhanced</w:t>
      </w:r>
      <w:r w:rsidR="00720226">
        <w:rPr>
          <w:b/>
          <w:lang w:val="en-US"/>
        </w:rPr>
        <w:t xml:space="preserve"> PHR report mapping table.</w:t>
      </w:r>
    </w:p>
    <w:p w14:paraId="6290CD8B" w14:textId="30027C38" w:rsidR="009E1EC5" w:rsidRDefault="009E1EC5" w:rsidP="007C1008">
      <w:pPr>
        <w:rPr>
          <w:b/>
          <w:lang w:val="en-US"/>
        </w:rPr>
      </w:pPr>
    </w:p>
    <w:p w14:paraId="6A6434AD" w14:textId="2145C3DD" w:rsidR="00720226" w:rsidRDefault="00720226" w:rsidP="007C1008">
      <w:pPr>
        <w:rPr>
          <w:b/>
          <w:lang w:val="en-US"/>
        </w:rPr>
      </w:pPr>
    </w:p>
    <w:p w14:paraId="0C77C829" w14:textId="6A467C52" w:rsidR="00720226" w:rsidRDefault="00720226" w:rsidP="007C1008">
      <w:pPr>
        <w:rPr>
          <w:b/>
          <w:lang w:val="en-US"/>
        </w:rPr>
      </w:pPr>
    </w:p>
    <w:p w14:paraId="2D1C552B" w14:textId="32FC245E" w:rsidR="00720226" w:rsidRDefault="00720226" w:rsidP="007C1008">
      <w:pPr>
        <w:rPr>
          <w:b/>
          <w:lang w:val="en-US"/>
        </w:rPr>
      </w:pPr>
    </w:p>
    <w:p w14:paraId="0E0C0A82" w14:textId="7EFBE754" w:rsidR="00720226" w:rsidRDefault="00720226" w:rsidP="007C1008">
      <w:pPr>
        <w:rPr>
          <w:b/>
          <w:lang w:val="en-US"/>
        </w:rPr>
      </w:pPr>
    </w:p>
    <w:p w14:paraId="20E67402" w14:textId="43FD392F" w:rsidR="00720226" w:rsidRDefault="00720226" w:rsidP="007C1008">
      <w:pPr>
        <w:rPr>
          <w:b/>
          <w:lang w:val="en-US"/>
        </w:rPr>
      </w:pPr>
    </w:p>
    <w:p w14:paraId="13055425" w14:textId="3415382C" w:rsidR="00720226" w:rsidRPr="00016705" w:rsidRDefault="00720226" w:rsidP="00720226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 xml:space="preserve">Table 1. </w:t>
      </w:r>
      <w:r w:rsidR="00B76FEE">
        <w:rPr>
          <w:b/>
          <w:lang w:val="en-US"/>
        </w:rPr>
        <w:t xml:space="preserve">Enhanced </w:t>
      </w:r>
      <w:r>
        <w:rPr>
          <w:b/>
          <w:lang w:val="en-US"/>
        </w:rPr>
        <w:t>PHR report mapping table with 4-bit resolution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396558" w14:paraId="7CBB5635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8D0D" w14:textId="77777777" w:rsidR="00396558" w:rsidRDefault="00396558" w:rsidP="000556B9">
            <w:pPr>
              <w:pStyle w:val="TAH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1899" w14:textId="77777777" w:rsidR="00396558" w:rsidRDefault="00396558" w:rsidP="000556B9">
            <w:pPr>
              <w:pStyle w:val="TAH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Measured quantity value (dB)</w:t>
            </w:r>
          </w:p>
        </w:tc>
      </w:tr>
      <w:tr w:rsidR="00396558" w14:paraId="62BE38C5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1512" w14:textId="548B9621" w:rsidR="00396558" w:rsidRDefault="00F06571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3D31" w14:textId="4B74856C" w:rsidR="00396558" w:rsidRDefault="00F06571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-54</w:t>
            </w:r>
            <w:r w:rsidR="00396558">
              <w:rPr>
                <w:lang w:eastAsia="ja-JP"/>
              </w:rPr>
              <w:t xml:space="preserve"> </w:t>
            </w:r>
            <w:r w:rsidR="00396558">
              <w:rPr>
                <w:lang w:eastAsia="ja-JP"/>
              </w:rPr>
              <w:sym w:font="Symbol" w:char="F0A3"/>
            </w:r>
            <w:r w:rsidR="00396558">
              <w:rPr>
                <w:lang w:eastAsia="ja-JP"/>
              </w:rPr>
              <w:t xml:space="preserve"> PH </w:t>
            </w:r>
            <w:r w:rsidR="00396558">
              <w:rPr>
                <w:lang w:eastAsia="ja-JP"/>
              </w:rPr>
              <w:sym w:font="Symbol" w:char="F03C"/>
            </w:r>
            <w:r w:rsidR="0039655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-</w:t>
            </w:r>
            <w:r w:rsidR="00B76B47">
              <w:rPr>
                <w:lang w:eastAsia="ja-JP"/>
              </w:rPr>
              <w:t>3</w:t>
            </w:r>
            <w:r w:rsidR="00086DEB">
              <w:rPr>
                <w:lang w:eastAsia="ja-JP"/>
              </w:rPr>
              <w:t>4</w:t>
            </w:r>
          </w:p>
        </w:tc>
      </w:tr>
      <w:tr w:rsidR="00A21177" w14:paraId="0D238528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D1B5" w14:textId="2580256B" w:rsidR="00A21177" w:rsidRDefault="00A21177" w:rsidP="00A211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D510" w14:textId="2611179D" w:rsidR="00A21177" w:rsidRDefault="00A21177" w:rsidP="00A211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="00B76B47">
              <w:rPr>
                <w:lang w:eastAsia="ja-JP"/>
              </w:rPr>
              <w:t>3</w:t>
            </w:r>
            <w:r w:rsidR="00086DEB">
              <w:rPr>
                <w:lang w:eastAsia="ja-JP"/>
              </w:rPr>
              <w:t>4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</w:t>
            </w:r>
            <w:r w:rsidR="00B76B47">
              <w:rPr>
                <w:lang w:eastAsia="ja-JP"/>
              </w:rPr>
              <w:t>3</w:t>
            </w:r>
            <w:r w:rsidR="00086DEB">
              <w:rPr>
                <w:lang w:eastAsia="ja-JP"/>
              </w:rPr>
              <w:t>1</w:t>
            </w:r>
          </w:p>
        </w:tc>
      </w:tr>
      <w:tr w:rsidR="009E1EC5" w14:paraId="20B12B9A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A346" w14:textId="626E8956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995C" w14:textId="21751226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="0008213F">
              <w:rPr>
                <w:lang w:eastAsia="ja-JP"/>
              </w:rPr>
              <w:t>3</w:t>
            </w:r>
            <w:r w:rsidR="00086DEB">
              <w:rPr>
                <w:lang w:eastAsia="ja-JP"/>
              </w:rPr>
              <w:t>1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</w:t>
            </w:r>
            <w:r w:rsidR="0008213F">
              <w:rPr>
                <w:lang w:eastAsia="ja-JP"/>
              </w:rPr>
              <w:t>2</w:t>
            </w:r>
            <w:r w:rsidR="00086DEB">
              <w:rPr>
                <w:lang w:eastAsia="ja-JP"/>
              </w:rPr>
              <w:t>8</w:t>
            </w:r>
          </w:p>
        </w:tc>
      </w:tr>
      <w:tr w:rsidR="009E1EC5" w14:paraId="709FDC72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07CE" w14:textId="624BFB71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2D1E" w14:textId="4DC86584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-2</w:t>
            </w:r>
            <w:r w:rsidR="00086DEB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-23</w:t>
            </w:r>
          </w:p>
        </w:tc>
      </w:tr>
      <w:tr w:rsidR="009E1EC5" w14:paraId="70CE6D4B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39A1" w14:textId="70732046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B76B" w14:textId="56446332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-23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-20</w:t>
            </w:r>
          </w:p>
        </w:tc>
      </w:tr>
      <w:tr w:rsidR="009E1EC5" w14:paraId="3BC613D8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BAA4" w14:textId="18EEF9A3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050A" w14:textId="0C97478C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-20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-17</w:t>
            </w:r>
          </w:p>
        </w:tc>
      </w:tr>
      <w:tr w:rsidR="009E1EC5" w14:paraId="1BEEFABB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1CB0" w14:textId="455B7C22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4FE7" w14:textId="01DD0419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-17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-14</w:t>
            </w:r>
          </w:p>
        </w:tc>
      </w:tr>
      <w:tr w:rsidR="009E1EC5" w14:paraId="4F11CF6A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990C" w14:textId="1E164D47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3547" w14:textId="0066E369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-14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-11</w:t>
            </w:r>
          </w:p>
        </w:tc>
      </w:tr>
      <w:tr w:rsidR="009E1EC5" w14:paraId="2710B8F2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717A" w14:textId="73C5CE00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5DEB" w14:textId="50E7ACB6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-11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-8</w:t>
            </w:r>
          </w:p>
        </w:tc>
      </w:tr>
      <w:tr w:rsidR="009E1EC5" w14:paraId="36742A13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C5E4" w14:textId="7E9CB5C6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882E" w14:textId="4FF89C7A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-8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-5</w:t>
            </w:r>
          </w:p>
        </w:tc>
      </w:tr>
      <w:tr w:rsidR="009E1EC5" w14:paraId="1698C622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F062" w14:textId="5C32FB8B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D503" w14:textId="4CD8778F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-5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</w:t>
            </w:r>
          </w:p>
        </w:tc>
      </w:tr>
      <w:tr w:rsidR="009E1EC5" w14:paraId="3B7DC2BE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CB5B" w14:textId="195A4C59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6D6D" w14:textId="10E61CEB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</w:t>
            </w:r>
            <w:r w:rsidR="00B76B47">
              <w:rPr>
                <w:lang w:eastAsia="ja-JP"/>
              </w:rPr>
              <w:t>1</w:t>
            </w:r>
          </w:p>
        </w:tc>
      </w:tr>
      <w:tr w:rsidR="009E1EC5" w14:paraId="21C9DDE3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DAD2" w14:textId="31623F0D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5B72" w14:textId="26D3F009" w:rsidR="009E1EC5" w:rsidRDefault="00B76B47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 w:rsidR="009E1EC5">
              <w:rPr>
                <w:lang w:eastAsia="ja-JP"/>
              </w:rPr>
              <w:t xml:space="preserve"> </w:t>
            </w:r>
            <w:r w:rsidR="009E1EC5">
              <w:rPr>
                <w:lang w:eastAsia="ja-JP"/>
              </w:rPr>
              <w:sym w:font="Symbol" w:char="F0A3"/>
            </w:r>
            <w:r w:rsidR="009E1EC5">
              <w:rPr>
                <w:lang w:eastAsia="ja-JP"/>
              </w:rPr>
              <w:t xml:space="preserve"> PH </w:t>
            </w:r>
            <w:r w:rsidR="009E1EC5">
              <w:rPr>
                <w:lang w:eastAsia="ja-JP"/>
              </w:rPr>
              <w:sym w:font="Symbol" w:char="F03C"/>
            </w:r>
            <w:r w:rsidR="009E1EC5">
              <w:rPr>
                <w:lang w:eastAsia="ja-JP"/>
              </w:rPr>
              <w:t xml:space="preserve"> 5</w:t>
            </w:r>
          </w:p>
        </w:tc>
      </w:tr>
      <w:tr w:rsidR="009E1EC5" w14:paraId="624852B9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7618" w14:textId="1D0C9CDD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4EC2" w14:textId="0FDE06F6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5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8</w:t>
            </w:r>
          </w:p>
        </w:tc>
      </w:tr>
      <w:tr w:rsidR="009E1EC5" w14:paraId="7C716B96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72C7" w14:textId="4CB05370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0187" w14:textId="53BDC1D7" w:rsidR="009E1EC5" w:rsidRDefault="009E1EC5" w:rsidP="009E1E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8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11</w:t>
            </w:r>
          </w:p>
        </w:tc>
      </w:tr>
      <w:tr w:rsidR="00A21177" w14:paraId="459E73B9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47A4" w14:textId="2DA8BAB2" w:rsidR="00A21177" w:rsidRDefault="00A21177" w:rsidP="00A211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12A6" w14:textId="52E81CBF" w:rsidR="00A21177" w:rsidRDefault="00A21177" w:rsidP="00A211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PH ≥ </w:t>
            </w:r>
            <w:r w:rsidR="009E1EC5">
              <w:rPr>
                <w:lang w:eastAsia="ja-JP"/>
              </w:rPr>
              <w:t>11</w:t>
            </w:r>
          </w:p>
        </w:tc>
      </w:tr>
    </w:tbl>
    <w:p w14:paraId="1E50546F" w14:textId="16D2A833" w:rsidR="008A7BB6" w:rsidRDefault="008A7BB6" w:rsidP="007C1008">
      <w:pPr>
        <w:rPr>
          <w:lang w:val="en-US"/>
        </w:rPr>
      </w:pPr>
    </w:p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EC953B0" w14:textId="6AD6EEF6" w:rsidR="00284A9A" w:rsidRDefault="00284A9A" w:rsidP="00284A9A">
      <w:pPr>
        <w:spacing w:after="0"/>
        <w:rPr>
          <w:lang w:val="en-US"/>
        </w:rPr>
      </w:pPr>
      <w:r>
        <w:rPr>
          <w:lang w:val="en-US"/>
        </w:rPr>
        <w:t>In this paper, we discuss</w:t>
      </w:r>
      <w:r>
        <w:rPr>
          <w:lang w:val="en-US"/>
        </w:rPr>
        <w:t>ed</w:t>
      </w:r>
      <w:r>
        <w:rPr>
          <w:lang w:val="en-US"/>
        </w:rPr>
        <w:t xml:space="preserve"> the necessary modification of the PHR report mapping in NB-IoT for the enhanced PHR reporting.</w:t>
      </w:r>
    </w:p>
    <w:p w14:paraId="73675C2C" w14:textId="37224E06" w:rsidR="001E1039" w:rsidRDefault="001E1039" w:rsidP="001E1039">
      <w:pPr>
        <w:spacing w:after="0"/>
        <w:rPr>
          <w:lang w:val="en-US"/>
        </w:rPr>
      </w:pPr>
    </w:p>
    <w:p w14:paraId="3146A96B" w14:textId="38502D31" w:rsidR="004D7CF4" w:rsidRPr="00016705" w:rsidRDefault="004D7CF4" w:rsidP="004D7CF4">
      <w:pPr>
        <w:rPr>
          <w:b/>
          <w:lang w:val="en-US"/>
        </w:rPr>
      </w:pPr>
      <w:r w:rsidRPr="00016705">
        <w:rPr>
          <w:b/>
          <w:lang w:val="en-US"/>
        </w:rPr>
        <w:t xml:space="preserve">Observation 1. </w:t>
      </w:r>
      <w:r>
        <w:rPr>
          <w:b/>
          <w:lang w:val="en-US"/>
        </w:rPr>
        <w:t xml:space="preserve">Incorrect coverage decision due to noisy NRSRP measurement may lead to the suboptimal use of </w:t>
      </w:r>
      <w:r w:rsidR="00284A9A">
        <w:rPr>
          <w:b/>
          <w:lang w:val="en-US"/>
        </w:rPr>
        <w:t>PHR</w:t>
      </w:r>
      <w:r>
        <w:rPr>
          <w:b/>
          <w:lang w:val="en-US"/>
        </w:rPr>
        <w:t xml:space="preserve"> reporting in the legacy </w:t>
      </w:r>
      <w:r w:rsidR="00284A9A">
        <w:rPr>
          <w:b/>
          <w:lang w:val="en-US"/>
        </w:rPr>
        <w:t xml:space="preserve">PHR </w:t>
      </w:r>
      <w:r>
        <w:rPr>
          <w:b/>
          <w:lang w:val="en-US"/>
        </w:rPr>
        <w:t>report mapping.</w:t>
      </w:r>
    </w:p>
    <w:p w14:paraId="74E78054" w14:textId="77777777" w:rsidR="00DB6EB7" w:rsidRDefault="00DB6EB7" w:rsidP="00DB6EB7">
      <w:pPr>
        <w:rPr>
          <w:b/>
          <w:lang w:val="en-US"/>
        </w:rPr>
      </w:pPr>
      <w:r w:rsidRPr="00016705">
        <w:rPr>
          <w:b/>
          <w:lang w:val="en-US"/>
        </w:rPr>
        <w:t xml:space="preserve">Proposal 1. </w:t>
      </w:r>
      <w:r>
        <w:rPr>
          <w:b/>
          <w:lang w:val="en-US"/>
        </w:rPr>
        <w:t>In the enhanced PHR reporting, define only one</w:t>
      </w:r>
      <w:r w:rsidRPr="00016705">
        <w:rPr>
          <w:b/>
          <w:lang w:val="en-US"/>
        </w:rPr>
        <w:t xml:space="preserve"> </w:t>
      </w:r>
      <w:r>
        <w:rPr>
          <w:b/>
          <w:lang w:val="en-US"/>
        </w:rPr>
        <w:t>PHR report</w:t>
      </w:r>
      <w:r w:rsidRPr="00016705">
        <w:rPr>
          <w:b/>
          <w:lang w:val="en-US"/>
        </w:rPr>
        <w:t xml:space="preserve"> mapping </w:t>
      </w:r>
      <w:r>
        <w:rPr>
          <w:b/>
          <w:lang w:val="en-US"/>
        </w:rPr>
        <w:t>table for NB-IoT UEs across different power class and/or coverage level.</w:t>
      </w:r>
    </w:p>
    <w:p w14:paraId="1DA742B1" w14:textId="2723C1F2" w:rsidR="00720226" w:rsidRDefault="00720226" w:rsidP="00720226">
      <w:pPr>
        <w:rPr>
          <w:b/>
          <w:lang w:val="en-US"/>
        </w:rPr>
      </w:pPr>
      <w:r w:rsidRPr="00016705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16705">
        <w:rPr>
          <w:b/>
          <w:lang w:val="en-US"/>
        </w:rPr>
        <w:t xml:space="preserve">. </w:t>
      </w:r>
      <w:r>
        <w:rPr>
          <w:b/>
          <w:lang w:val="en-US"/>
        </w:rPr>
        <w:t xml:space="preserve">Adopt the Table 1 for </w:t>
      </w:r>
      <w:r w:rsidR="00B76FEE">
        <w:rPr>
          <w:b/>
          <w:lang w:val="en-US"/>
        </w:rPr>
        <w:t xml:space="preserve">enhanced </w:t>
      </w:r>
      <w:r>
        <w:rPr>
          <w:b/>
          <w:lang w:val="en-US"/>
        </w:rPr>
        <w:t>PHR report mapping table.</w:t>
      </w:r>
    </w:p>
    <w:p w14:paraId="64A309EC" w14:textId="6E45D344" w:rsidR="008259DE" w:rsidRPr="00016705" w:rsidRDefault="008259DE" w:rsidP="008259DE">
      <w:pPr>
        <w:jc w:val="center"/>
        <w:rPr>
          <w:b/>
          <w:lang w:val="en-US"/>
        </w:rPr>
      </w:pPr>
      <w:r>
        <w:rPr>
          <w:b/>
          <w:lang w:val="en-US"/>
        </w:rPr>
        <w:t xml:space="preserve">Table 1. </w:t>
      </w:r>
      <w:r w:rsidR="00B76FEE">
        <w:rPr>
          <w:b/>
          <w:lang w:val="en-US"/>
        </w:rPr>
        <w:t xml:space="preserve">Enhanced </w:t>
      </w:r>
      <w:r>
        <w:rPr>
          <w:b/>
          <w:lang w:val="en-US"/>
        </w:rPr>
        <w:t>PHR report mapping table with 4-bit resolution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259DE" w14:paraId="7387AFFE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9A3E" w14:textId="77777777" w:rsidR="008259DE" w:rsidRDefault="008259DE" w:rsidP="000556B9">
            <w:pPr>
              <w:pStyle w:val="TAH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31DD" w14:textId="77777777" w:rsidR="008259DE" w:rsidRDefault="008259DE" w:rsidP="000556B9">
            <w:pPr>
              <w:pStyle w:val="TAH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Measured quantity value (dB)</w:t>
            </w:r>
          </w:p>
        </w:tc>
      </w:tr>
      <w:tr w:rsidR="008259DE" w14:paraId="0124BC0D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2C5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4DD6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-54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-34</w:t>
            </w:r>
          </w:p>
        </w:tc>
      </w:tr>
      <w:tr w:rsidR="008259DE" w14:paraId="1ABCC213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DFC4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4B83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-34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-31</w:t>
            </w:r>
          </w:p>
        </w:tc>
      </w:tr>
      <w:tr w:rsidR="008259DE" w14:paraId="6E94C46E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1271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5416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-31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-28</w:t>
            </w:r>
          </w:p>
        </w:tc>
      </w:tr>
      <w:tr w:rsidR="008259DE" w14:paraId="2D280C9D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9423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FD60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-28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-23</w:t>
            </w:r>
          </w:p>
        </w:tc>
      </w:tr>
      <w:tr w:rsidR="008259DE" w14:paraId="6E64FC65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A79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B32F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-23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-20</w:t>
            </w:r>
          </w:p>
        </w:tc>
      </w:tr>
      <w:tr w:rsidR="008259DE" w14:paraId="15ED5386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A53B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89B2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-20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-17</w:t>
            </w:r>
          </w:p>
        </w:tc>
      </w:tr>
      <w:tr w:rsidR="008259DE" w14:paraId="4F0502D1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F7B2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5476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-17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-14</w:t>
            </w:r>
          </w:p>
        </w:tc>
      </w:tr>
      <w:tr w:rsidR="008259DE" w14:paraId="15098860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DE80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8E6B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-14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-11</w:t>
            </w:r>
          </w:p>
        </w:tc>
      </w:tr>
      <w:tr w:rsidR="008259DE" w14:paraId="5CFA4188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74C3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24EB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-11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-8</w:t>
            </w:r>
          </w:p>
        </w:tc>
      </w:tr>
      <w:tr w:rsidR="008259DE" w14:paraId="1498FC32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E97C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DCD1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-8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-5</w:t>
            </w:r>
          </w:p>
        </w:tc>
      </w:tr>
      <w:tr w:rsidR="008259DE" w14:paraId="609487CF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BB77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B201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-5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</w:t>
            </w:r>
          </w:p>
        </w:tc>
      </w:tr>
      <w:tr w:rsidR="008259DE" w14:paraId="2D15618C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F9EC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B7E3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1</w:t>
            </w:r>
          </w:p>
        </w:tc>
      </w:tr>
      <w:tr w:rsidR="008259DE" w14:paraId="1371606E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08C9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C118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5</w:t>
            </w:r>
          </w:p>
        </w:tc>
      </w:tr>
      <w:tr w:rsidR="008259DE" w14:paraId="5BE8B1DA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3F7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A9EC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5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8</w:t>
            </w:r>
          </w:p>
        </w:tc>
      </w:tr>
      <w:tr w:rsidR="008259DE" w14:paraId="75DD1C0E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E059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7C3E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8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11</w:t>
            </w:r>
          </w:p>
        </w:tc>
      </w:tr>
      <w:tr w:rsidR="008259DE" w14:paraId="2C28CE57" w14:textId="77777777" w:rsidTr="000556B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3481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1699" w14:textId="77777777" w:rsidR="008259DE" w:rsidRDefault="008259DE" w:rsidP="000556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PH ≥ 11</w:t>
            </w:r>
          </w:p>
        </w:tc>
      </w:tr>
    </w:tbl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B28EA5D" w14:textId="2E6B4F66" w:rsidR="008A7BB6" w:rsidRDefault="00797CE5" w:rsidP="008A7BB6">
      <w:pPr>
        <w:pStyle w:val="3GPPHeader"/>
        <w:spacing w:after="0"/>
        <w:rPr>
          <w:rFonts w:eastAsia="MS Mincho"/>
          <w:b w:val="0"/>
          <w:sz w:val="20"/>
          <w:lang w:val="en-US" w:eastAsia="en-US"/>
        </w:rPr>
      </w:pPr>
      <w:r w:rsidRPr="008A7BB6">
        <w:rPr>
          <w:rFonts w:eastAsia="MS Mincho"/>
          <w:b w:val="0"/>
          <w:sz w:val="20"/>
          <w:lang w:val="en-US" w:eastAsia="en-US"/>
        </w:rPr>
        <w:t xml:space="preserve">[1] </w:t>
      </w:r>
      <w:r w:rsidR="008A7BB6" w:rsidRPr="008A7BB6">
        <w:rPr>
          <w:rFonts w:eastAsia="MS Mincho"/>
          <w:b w:val="0"/>
          <w:sz w:val="20"/>
          <w:lang w:val="en-US" w:eastAsia="en-US"/>
        </w:rPr>
        <w:t>R2-1806259, “LS on enhanced PHR reporting in NB-IoT”, Ericsson, TSG-RAN</w:t>
      </w:r>
      <w:r w:rsidR="008A7BB6">
        <w:rPr>
          <w:rFonts w:eastAsia="MS Mincho"/>
          <w:b w:val="0"/>
          <w:sz w:val="20"/>
          <w:lang w:val="en-US" w:eastAsia="en-US"/>
        </w:rPr>
        <w:t>2</w:t>
      </w:r>
      <w:r w:rsidR="008A7BB6" w:rsidRPr="008A7BB6">
        <w:rPr>
          <w:rFonts w:eastAsia="MS Mincho"/>
          <w:b w:val="0"/>
          <w:sz w:val="20"/>
          <w:lang w:val="en-US" w:eastAsia="en-US"/>
        </w:rPr>
        <w:t xml:space="preserve"> #</w:t>
      </w:r>
      <w:r w:rsidR="008A7BB6">
        <w:rPr>
          <w:rFonts w:eastAsia="MS Mincho"/>
          <w:b w:val="0"/>
          <w:sz w:val="20"/>
          <w:lang w:val="en-US" w:eastAsia="en-US"/>
        </w:rPr>
        <w:t>101bis</w:t>
      </w:r>
    </w:p>
    <w:p w14:paraId="65D1CB1A" w14:textId="1B33237E" w:rsidR="00452BFF" w:rsidRPr="008A7BB6" w:rsidRDefault="00452BFF" w:rsidP="008A7BB6">
      <w:pPr>
        <w:pStyle w:val="3GPPHeader"/>
        <w:spacing w:after="0"/>
        <w:rPr>
          <w:rFonts w:eastAsia="MS Mincho"/>
          <w:b w:val="0"/>
          <w:sz w:val="20"/>
          <w:lang w:val="en-US" w:eastAsia="en-US"/>
        </w:rPr>
      </w:pPr>
      <w:r>
        <w:rPr>
          <w:rFonts w:eastAsia="MS Mincho"/>
          <w:b w:val="0"/>
          <w:sz w:val="20"/>
          <w:lang w:val="en-US" w:eastAsia="en-US"/>
        </w:rPr>
        <w:t>[2] R4-1607783, “Discussion on PHR for NB-IoT”, Huawei, HiSilicon, TSG-RAN4 #80bis</w:t>
      </w:r>
    </w:p>
    <w:sectPr w:rsidR="00452BFF" w:rsidRPr="008A7BB6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8F4FF" w14:textId="77777777" w:rsidR="000F6D47" w:rsidRDefault="000F6D47">
      <w:r>
        <w:separator/>
      </w:r>
    </w:p>
  </w:endnote>
  <w:endnote w:type="continuationSeparator" w:id="0">
    <w:p w14:paraId="66FC8FC4" w14:textId="77777777" w:rsidR="000F6D47" w:rsidRDefault="000F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86762F" w:rsidRDefault="0086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86762F" w:rsidRDefault="008676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A429D" w14:textId="77777777" w:rsidR="000F6D47" w:rsidRDefault="000F6D47">
      <w:r>
        <w:separator/>
      </w:r>
    </w:p>
  </w:footnote>
  <w:footnote w:type="continuationSeparator" w:id="0">
    <w:p w14:paraId="7998C630" w14:textId="77777777" w:rsidR="000F6D47" w:rsidRDefault="000F6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861ED"/>
    <w:multiLevelType w:val="hybridMultilevel"/>
    <w:tmpl w:val="2FFE68FE"/>
    <w:lvl w:ilvl="0" w:tplc="545CAB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9A2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BA11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A28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AE6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AA8A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1E85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341B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C63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6774C"/>
    <w:multiLevelType w:val="hybridMultilevel"/>
    <w:tmpl w:val="C9625C56"/>
    <w:lvl w:ilvl="0" w:tplc="B4BC0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86F68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67A1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A6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A0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A4D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9"/>
  </w:num>
  <w:num w:numId="4">
    <w:abstractNumId w:val="8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7"/>
  </w:num>
  <w:num w:numId="8">
    <w:abstractNumId w:val="14"/>
  </w:num>
  <w:num w:numId="9">
    <w:abstractNumId w:val="15"/>
  </w:num>
  <w:num w:numId="10">
    <w:abstractNumId w:val="13"/>
  </w:num>
  <w:num w:numId="11">
    <w:abstractNumId w:val="31"/>
  </w:num>
  <w:num w:numId="12">
    <w:abstractNumId w:val="19"/>
  </w:num>
  <w:num w:numId="13">
    <w:abstractNumId w:val="25"/>
  </w:num>
  <w:num w:numId="14">
    <w:abstractNumId w:val="17"/>
  </w:num>
  <w:num w:numId="15">
    <w:abstractNumId w:val="32"/>
  </w:num>
  <w:num w:numId="16">
    <w:abstractNumId w:val="28"/>
  </w:num>
  <w:num w:numId="17">
    <w:abstractNumId w:val="26"/>
  </w:num>
  <w:num w:numId="18">
    <w:abstractNumId w:val="9"/>
  </w:num>
  <w:num w:numId="19">
    <w:abstractNumId w:val="20"/>
  </w:num>
  <w:num w:numId="20">
    <w:abstractNumId w:val="3"/>
  </w:num>
  <w:num w:numId="21">
    <w:abstractNumId w:val="23"/>
  </w:num>
  <w:num w:numId="22">
    <w:abstractNumId w:val="0"/>
  </w:num>
  <w:num w:numId="23">
    <w:abstractNumId w:val="21"/>
  </w:num>
  <w:num w:numId="24">
    <w:abstractNumId w:val="18"/>
  </w:num>
  <w:num w:numId="25">
    <w:abstractNumId w:val="6"/>
  </w:num>
  <w:num w:numId="26">
    <w:abstractNumId w:val="22"/>
  </w:num>
  <w:num w:numId="27">
    <w:abstractNumId w:val="7"/>
  </w:num>
  <w:num w:numId="28">
    <w:abstractNumId w:val="5"/>
  </w:num>
  <w:num w:numId="29">
    <w:abstractNumId w:val="10"/>
  </w:num>
  <w:num w:numId="30">
    <w:abstractNumId w:val="12"/>
  </w:num>
  <w:num w:numId="31">
    <w:abstractNumId w:val="4"/>
  </w:num>
  <w:num w:numId="32">
    <w:abstractNumId w:val="30"/>
  </w:num>
  <w:num w:numId="33">
    <w:abstractNumId w:val="16"/>
  </w:num>
  <w:num w:numId="3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81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0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13F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DEB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6D47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C45"/>
    <w:rsid w:val="00120028"/>
    <w:rsid w:val="0012027C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73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898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21A5"/>
    <w:rsid w:val="001C242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3D9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7F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81F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A9A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E2A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01C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66E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DF6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558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BFF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5AD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CF4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596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ED9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B98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90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2E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4D2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3FE9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3F88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226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31F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E39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9DE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B6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DD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BB6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87E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BD"/>
    <w:rsid w:val="009E0B89"/>
    <w:rsid w:val="009E0FAF"/>
    <w:rsid w:val="009E14D0"/>
    <w:rsid w:val="009E1EC5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177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674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EAD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47"/>
    <w:rsid w:val="00B76B55"/>
    <w:rsid w:val="00B76D54"/>
    <w:rsid w:val="00B76FEE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B21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31C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8DE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6EB7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A3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49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571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2B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30D"/>
    <w:rsid w:val="00F31521"/>
    <w:rsid w:val="00F31692"/>
    <w:rsid w:val="00F31953"/>
    <w:rsid w:val="00F31A25"/>
    <w:rsid w:val="00F31B07"/>
    <w:rsid w:val="00F31C19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BB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01881"/>
    <w:rPr>
      <w:color w:val="808080"/>
      <w:shd w:val="clear" w:color="auto" w:fill="E6E6E6"/>
    </w:rPr>
  </w:style>
  <w:style w:type="paragraph" w:customStyle="1" w:styleId="3GPPHeader">
    <w:name w:val="3GPP_Header"/>
    <w:basedOn w:val="Normal"/>
    <w:link w:val="3GPPHeaderChar"/>
    <w:rsid w:val="008A7BB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A7BB6"/>
    <w:rPr>
      <w:rFonts w:ascii="Times New Roman" w:eastAsia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20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4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50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39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40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63C8C-454B-40B7-952B-F6AD465BA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2400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50</cp:revision>
  <cp:lastPrinted>2009-04-22T21:01:00Z</cp:lastPrinted>
  <dcterms:created xsi:type="dcterms:W3CDTF">2018-02-16T22:17:00Z</dcterms:created>
  <dcterms:modified xsi:type="dcterms:W3CDTF">2018-05-14T08:01:00Z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